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1" w:rsidRDefault="00FD7929" w:rsidP="00FD7929">
      <w:pPr>
        <w:pStyle w:val="Caption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65704732"/>
      <w:bookmarkStart w:id="1" w:name="_Toc65704758"/>
      <w:bookmarkStart w:id="2" w:name="_Toc65752112"/>
      <w:r>
        <w:rPr>
          <w:rFonts w:ascii="Times New Roman" w:hAnsi="Times New Roman" w:cs="Times New Roman"/>
          <w:b/>
          <w:color w:val="auto"/>
          <w:sz w:val="24"/>
        </w:rPr>
        <w:t>Supplementary Table</w:t>
      </w:r>
      <w:r w:rsidR="00292A4B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AD6EF8">
        <w:rPr>
          <w:rFonts w:ascii="Times New Roman" w:hAnsi="Times New Roman" w:cs="Times New Roman"/>
          <w:b/>
          <w:color w:val="auto"/>
          <w:sz w:val="24"/>
        </w:rPr>
        <w:t>1</w:t>
      </w:r>
      <w:r w:rsidR="00A22075">
        <w:rPr>
          <w:rFonts w:ascii="Times New Roman" w:hAnsi="Times New Roman" w:cs="Times New Roman"/>
          <w:b/>
          <w:color w:val="auto"/>
          <w:sz w:val="24"/>
        </w:rPr>
        <w:t>:</w:t>
      </w:r>
      <w:r w:rsidR="0009245D" w:rsidRPr="00C04BA8">
        <w:rPr>
          <w:rFonts w:ascii="Times New Roman" w:hAnsi="Times New Roman" w:cs="Times New Roman"/>
          <w:b/>
          <w:color w:val="auto"/>
          <w:sz w:val="24"/>
        </w:rPr>
        <w:t xml:space="preserve"> Algal Bioactive Compounds- Source</w:t>
      </w:r>
      <w:bookmarkEnd w:id="0"/>
      <w:bookmarkEnd w:id="1"/>
      <w:bookmarkEnd w:id="2"/>
    </w:p>
    <w:tbl>
      <w:tblPr>
        <w:tblStyle w:val="PlainTable2"/>
        <w:tblW w:w="9351" w:type="dxa"/>
        <w:tblLook w:val="04A0"/>
      </w:tblPr>
      <w:tblGrid>
        <w:gridCol w:w="1818"/>
        <w:gridCol w:w="4410"/>
        <w:gridCol w:w="3123"/>
      </w:tblGrid>
      <w:tr w:rsidR="00027519" w:rsidRPr="0025577B" w:rsidTr="0025577B">
        <w:trPr>
          <w:cnfStyle w:val="100000000000"/>
        </w:trPr>
        <w:tc>
          <w:tcPr>
            <w:cnfStyle w:val="001000000000"/>
            <w:tcW w:w="1818" w:type="dxa"/>
          </w:tcPr>
          <w:p w:rsidR="00027519" w:rsidRPr="0025577B" w:rsidRDefault="00CB1B97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Bioactive Compound</w:t>
            </w:r>
          </w:p>
        </w:tc>
        <w:tc>
          <w:tcPr>
            <w:tcW w:w="4410" w:type="dxa"/>
          </w:tcPr>
          <w:p w:rsidR="00027519" w:rsidRPr="0025577B" w:rsidRDefault="00CB1B97" w:rsidP="005F146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Representative Source</w:t>
            </w:r>
          </w:p>
        </w:tc>
        <w:tc>
          <w:tcPr>
            <w:tcW w:w="3123" w:type="dxa"/>
          </w:tcPr>
          <w:p w:rsidR="00027519" w:rsidRPr="0025577B" w:rsidRDefault="00CB1B97" w:rsidP="005F146E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 w:val="0"/>
                <w:sz w:val="22"/>
                <w:szCs w:val="22"/>
              </w:rPr>
              <w:t>All</w:t>
            </w: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Sources</w:t>
            </w:r>
          </w:p>
        </w:tc>
      </w:tr>
      <w:tr w:rsidR="00027519" w:rsidRPr="0025577B" w:rsidTr="0025577B">
        <w:trPr>
          <w:cnfStyle w:val="000000100000"/>
        </w:trPr>
        <w:tc>
          <w:tcPr>
            <w:cnfStyle w:val="001000000000"/>
            <w:tcW w:w="1818" w:type="dxa"/>
          </w:tcPr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Eckol</w:t>
            </w:r>
            <w:proofErr w:type="spellEnd"/>
          </w:p>
        </w:tc>
        <w:tc>
          <w:tcPr>
            <w:tcW w:w="4410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586127" cy="929241"/>
                  <wp:effectExtent l="19050" t="0" r="4673" b="0"/>
                  <wp:docPr id="19" name="Picture 19" descr="Brown Algae – Nutra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n Algae – Nutra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31" cy="94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Sargassum</w:t>
            </w:r>
            <w:proofErr w:type="spellEnd"/>
          </w:p>
        </w:tc>
        <w:tc>
          <w:tcPr>
            <w:tcW w:w="3123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Phlorotannin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isolated from Brown algae</w:t>
            </w:r>
          </w:p>
        </w:tc>
      </w:tr>
      <w:tr w:rsidR="00027519" w:rsidRPr="0025577B" w:rsidTr="0025577B">
        <w:tc>
          <w:tcPr>
            <w:cnfStyle w:val="001000000000"/>
            <w:tcW w:w="1818" w:type="dxa"/>
          </w:tcPr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Sargafuran</w:t>
            </w:r>
            <w:proofErr w:type="spellEnd"/>
          </w:p>
        </w:tc>
        <w:tc>
          <w:tcPr>
            <w:tcW w:w="4410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94627" cy="1120384"/>
                  <wp:effectExtent l="19050" t="0" r="0" b="0"/>
                  <wp:docPr id="21" name="Picture 21" descr="Sargassum: Seaweed or Brown Algae – Thompson Earth Systems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gassum: Seaweed or Brown Algae – Thompson Earth Systems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886" cy="114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Sargassum</w:t>
            </w:r>
            <w:proofErr w:type="spellEnd"/>
          </w:p>
        </w:tc>
        <w:tc>
          <w:tcPr>
            <w:tcW w:w="3123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Marine brown algae- </w:t>
            </w: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Sargassum</w:t>
            </w:r>
            <w:proofErr w:type="spellEnd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macrocarpum</w:t>
            </w:r>
            <w:proofErr w:type="spellEnd"/>
          </w:p>
        </w:tc>
      </w:tr>
      <w:tr w:rsidR="00027519" w:rsidRPr="0025577B" w:rsidTr="0025577B">
        <w:trPr>
          <w:cnfStyle w:val="000000100000"/>
        </w:trPr>
        <w:tc>
          <w:tcPr>
            <w:cnfStyle w:val="001000000000"/>
            <w:tcW w:w="1818" w:type="dxa"/>
          </w:tcPr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Vitamin E</w:t>
            </w:r>
          </w:p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(α-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tocopherol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43103" cy="1234079"/>
                  <wp:effectExtent l="19050" t="0" r="4797" b="0"/>
                  <wp:docPr id="24" name="Picture 24" descr="Microalga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alga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13" cy="124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>Microalgae</w:t>
            </w:r>
          </w:p>
        </w:tc>
        <w:tc>
          <w:tcPr>
            <w:tcW w:w="3123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Microalgae (largest amount synthesized by </w:t>
            </w:r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Euglena </w:t>
            </w: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gracilis</w:t>
            </w:r>
            <w:proofErr w:type="spellEnd"/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cells), other plant sources include olive oil, </w:t>
            </w:r>
            <w:proofErr w:type="spellStart"/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>cocnut</w:t>
            </w:r>
            <w:proofErr w:type="spellEnd"/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oil, kale, broccoli, avocado, almonds</w:t>
            </w:r>
          </w:p>
        </w:tc>
      </w:tr>
      <w:tr w:rsidR="00027519" w:rsidRPr="0025577B" w:rsidTr="0025577B">
        <w:tc>
          <w:tcPr>
            <w:cnfStyle w:val="001000000000"/>
            <w:tcW w:w="1818" w:type="dxa"/>
          </w:tcPr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Docosahexaenoic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acid</w:t>
            </w:r>
          </w:p>
        </w:tc>
        <w:tc>
          <w:tcPr>
            <w:tcW w:w="4410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06382" cy="1471246"/>
                  <wp:effectExtent l="19050" t="0" r="3418" b="0"/>
                  <wp:docPr id="27" name="Picture 27" descr="Omega-3 fatty acids derived from algae oil - Goerlich Ph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-3 fatty acids derived from algae oil - Goerlich Ph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73" cy="147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Schizochytrium</w:t>
            </w:r>
            <w:proofErr w:type="spellEnd"/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sp.</w:t>
            </w:r>
          </w:p>
        </w:tc>
        <w:tc>
          <w:tcPr>
            <w:tcW w:w="3123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>Algal oil, other sources include fish (salmon, tuna), trout, mussels, crab</w:t>
            </w:r>
          </w:p>
        </w:tc>
      </w:tr>
      <w:tr w:rsidR="00027519" w:rsidRPr="0025577B" w:rsidTr="0025577B">
        <w:trPr>
          <w:cnfStyle w:val="000000100000"/>
        </w:trPr>
        <w:tc>
          <w:tcPr>
            <w:cnfStyle w:val="001000000000"/>
            <w:tcW w:w="1818" w:type="dxa"/>
          </w:tcPr>
          <w:p w:rsidR="00027519" w:rsidRPr="0025577B" w:rsidRDefault="00027519" w:rsidP="005F146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Fucoidan</w:t>
            </w:r>
            <w:proofErr w:type="spellEnd"/>
          </w:p>
        </w:tc>
        <w:tc>
          <w:tcPr>
            <w:tcW w:w="4410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2"/>
                <w:szCs w:val="22"/>
                <w:lang w:eastAsia="en-IN"/>
              </w:rPr>
            </w:pPr>
          </w:p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441275" cy="1285151"/>
                  <wp:effectExtent l="19050" t="0" r="0" b="0"/>
                  <wp:docPr id="22" name="Picture 22" descr="Fucoidan part 1: Bioactive seaweed compounds | Vitafoods Ins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coidan part 1: Bioactive seaweed compounds | Vitafoods Insigh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29" t="-1" r="18752" b="39390"/>
                          <a:stretch/>
                        </pic:blipFill>
                        <pic:spPr bwMode="auto">
                          <a:xfrm>
                            <a:off x="0" y="0"/>
                            <a:ext cx="2464749" cy="129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>Brown algae</w:t>
            </w:r>
          </w:p>
        </w:tc>
        <w:tc>
          <w:tcPr>
            <w:tcW w:w="3123" w:type="dxa"/>
          </w:tcPr>
          <w:p w:rsidR="00027519" w:rsidRPr="0025577B" w:rsidRDefault="00027519" w:rsidP="005F146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bCs/>
                <w:sz w:val="22"/>
                <w:szCs w:val="22"/>
              </w:rPr>
              <w:t>Brown algae and Brown seaweed</w:t>
            </w:r>
          </w:p>
        </w:tc>
      </w:tr>
    </w:tbl>
    <w:p w:rsidR="00DA5BE1" w:rsidRPr="0009245D" w:rsidRDefault="0009245D" w:rsidP="0009245D">
      <w:pPr>
        <w:pStyle w:val="Caption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lang w:val="en-US"/>
        </w:rPr>
      </w:pPr>
      <w:bookmarkStart w:id="3" w:name="_Toc67333007"/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Supplementary </w:t>
      </w:r>
      <w:r w:rsidR="00292A4B">
        <w:rPr>
          <w:rFonts w:ascii="Times New Roman" w:hAnsi="Times New Roman" w:cs="Times New Roman"/>
          <w:b/>
          <w:color w:val="auto"/>
          <w:sz w:val="24"/>
        </w:rPr>
        <w:t xml:space="preserve">Table </w:t>
      </w:r>
      <w:r>
        <w:rPr>
          <w:rFonts w:ascii="Times New Roman" w:hAnsi="Times New Roman" w:cs="Times New Roman"/>
          <w:b/>
          <w:color w:val="auto"/>
          <w:sz w:val="24"/>
        </w:rPr>
        <w:t>2</w:t>
      </w:r>
      <w:r w:rsidR="00A22075">
        <w:rPr>
          <w:rFonts w:ascii="Times New Roman" w:hAnsi="Times New Roman" w:cs="Times New Roman"/>
          <w:b/>
          <w:color w:val="auto"/>
          <w:sz w:val="24"/>
        </w:rPr>
        <w:t xml:space="preserve">: </w:t>
      </w:r>
      <w:r w:rsidRPr="00235321">
        <w:rPr>
          <w:rFonts w:ascii="Times New Roman" w:hAnsi="Times New Roman" w:cs="Times New Roman"/>
          <w:b/>
          <w:color w:val="auto"/>
          <w:sz w:val="24"/>
        </w:rPr>
        <w:t xml:space="preserve"> Prediction of Compounds Bioactivity- PA</w:t>
      </w:r>
      <w:r>
        <w:rPr>
          <w:rFonts w:ascii="Times New Roman" w:hAnsi="Times New Roman" w:cs="Times New Roman"/>
          <w:b/>
          <w:color w:val="auto"/>
          <w:sz w:val="24"/>
        </w:rPr>
        <w:t>S</w:t>
      </w:r>
      <w:r w:rsidRPr="00235321">
        <w:rPr>
          <w:rFonts w:ascii="Times New Roman" w:hAnsi="Times New Roman" w:cs="Times New Roman"/>
          <w:b/>
          <w:color w:val="auto"/>
          <w:sz w:val="24"/>
        </w:rPr>
        <w:t>S</w:t>
      </w:r>
      <w:bookmarkEnd w:id="3"/>
    </w:p>
    <w:tbl>
      <w:tblPr>
        <w:tblStyle w:val="PlainTable2"/>
        <w:tblW w:w="10348" w:type="dxa"/>
        <w:tblLayout w:type="fixed"/>
        <w:tblLook w:val="0460"/>
      </w:tblPr>
      <w:tblGrid>
        <w:gridCol w:w="1701"/>
        <w:gridCol w:w="6804"/>
        <w:gridCol w:w="1843"/>
      </w:tblGrid>
      <w:tr w:rsidR="00DA5BE1" w:rsidRPr="0025577B" w:rsidTr="00A22075">
        <w:trPr>
          <w:cnfStyle w:val="100000000000"/>
        </w:trPr>
        <w:tc>
          <w:tcPr>
            <w:tcW w:w="1701" w:type="dxa"/>
          </w:tcPr>
          <w:p w:rsidR="00DA5BE1" w:rsidRPr="0025577B" w:rsidRDefault="00CB1B97" w:rsidP="00541F98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Compound</w:t>
            </w:r>
          </w:p>
        </w:tc>
        <w:tc>
          <w:tcPr>
            <w:tcW w:w="6804" w:type="dxa"/>
          </w:tcPr>
          <w:p w:rsidR="007F1A08" w:rsidRPr="0025577B" w:rsidRDefault="007F1A08" w:rsidP="007F1A0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Bioactivity</w:t>
            </w:r>
          </w:p>
          <w:p w:rsidR="00DA5BE1" w:rsidRPr="0025577B" w:rsidRDefault="007F1A08" w:rsidP="007F1A0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(Pa Above 0.7)</w:t>
            </w:r>
          </w:p>
        </w:tc>
        <w:tc>
          <w:tcPr>
            <w:tcW w:w="1843" w:type="dxa"/>
          </w:tcPr>
          <w:p w:rsidR="00DA5BE1" w:rsidRPr="0025577B" w:rsidRDefault="007F1A08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Anti-inflammatory</w:t>
            </w:r>
          </w:p>
        </w:tc>
      </w:tr>
      <w:tr w:rsidR="00DA5BE1" w:rsidRPr="0025577B" w:rsidTr="00A22075">
        <w:trPr>
          <w:cnfStyle w:val="000000100000"/>
        </w:trPr>
        <w:tc>
          <w:tcPr>
            <w:tcW w:w="1701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Eckol</w:t>
            </w:r>
            <w:proofErr w:type="spellEnd"/>
          </w:p>
        </w:tc>
        <w:tc>
          <w:tcPr>
            <w:tcW w:w="6804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Membrane integrity agonist,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Chlordecone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Antioxidant, Membrane permeability inhibitor, HIF1A expression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Aspulvinone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dimethylallyltransferase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JAK2 expression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Antiseborrheic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Ubiquinol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cytochrome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-c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2-Dehydropantoate 2-reductase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Peroxidase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NADPH-cytochrome-c2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MAP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stimulant,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Histidine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Antihemorrhagic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, CYP2C12 substrate,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Mucomembranous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protector, APOA1 expression enhancer, NADPH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peroxidase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Hepatic disorders treatment, Aryl-alcohol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(NADP+) inhibitor, NADPH-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ferrihemoprotein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P-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benzo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quinone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(NADPH)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inhibitor,Dehydro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-L-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gulonate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Feruloyl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esterase inhibitor, Sugar-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Testosterone 17ß 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(NADP+) inhibitor</w:t>
            </w: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0.862</w:t>
            </w:r>
          </w:p>
        </w:tc>
      </w:tr>
      <w:tr w:rsidR="00DA5BE1" w:rsidRPr="0025577B" w:rsidTr="00A22075">
        <w:tc>
          <w:tcPr>
            <w:tcW w:w="1701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Sargafuran</w:t>
            </w:r>
            <w:proofErr w:type="spellEnd"/>
          </w:p>
        </w:tc>
        <w:tc>
          <w:tcPr>
            <w:tcW w:w="6804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Prenyl-diphosphatase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Lipid metabolism regulator,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Mucomembranous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protector,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Undecaprenyl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-phosphate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mannosyl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Antineoplastic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, Free radical scavenger</w:t>
            </w: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0.406</w:t>
            </w:r>
          </w:p>
        </w:tc>
      </w:tr>
      <w:tr w:rsidR="00DA5BE1" w:rsidRPr="0025577B" w:rsidTr="00A22075">
        <w:trPr>
          <w:cnfStyle w:val="000000100000"/>
        </w:trPr>
        <w:tc>
          <w:tcPr>
            <w:tcW w:w="1701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Docosahexaenoic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acid</w:t>
            </w:r>
          </w:p>
        </w:tc>
        <w:tc>
          <w:tcPr>
            <w:tcW w:w="6804" w:type="dxa"/>
          </w:tcPr>
          <w:p w:rsidR="00DA5BE1" w:rsidRPr="0025577B" w:rsidRDefault="00DA5BE1" w:rsidP="00072EA9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CYP2J2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Antieczematic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Linoleate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diol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synthase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Alcohol 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acetyltransferase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Lipid metabolism regulator,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Phosphatidylglycerophosphatase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Acylcarnitine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hydrolase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Mucomembranous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protector,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Alkylacetylglycero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Alkenylglycerophosphocholine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hydrolase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Chymosin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Saccharopepsin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Acrocylindropepsin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Lipoprotein lipase inhibitor, Methylamine-glutamate 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methyltransferase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Carboxypeptidase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Taq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All-trans-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retinyl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palmitate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hydrolase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Dextranase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GST A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Phosphatidylcholine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-retinol 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G-protein-coupled receptor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ß -adrenergic receptor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Fatty-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CoA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synthase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Phobic disorders treatment, Macrophage colony stimulating factor agonist, CYP4A11 substrate</w:t>
            </w:r>
            <w:r w:rsidR="00072EA9"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bookmarkStart w:id="4" w:name="_GoBack"/>
            <w:bookmarkEnd w:id="4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Sugar-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Prostaglandin-E2 9-reductase inhibitor, Pro-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opiomelanocortin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converting enzyme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Pullulanase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Polyporopepsin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Sarcosine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oxidase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>Methylenetetrahydrofolate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(NADPH) inhibitor, Leukotriene-B4 20-monooxygenase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Aspartate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-ammonia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Poly(alpha-L-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guluronate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)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lyase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Sphinganine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Chlordecone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Exoribonuclease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II inhibitor, Testosterone 17ß 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(NADP+)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endo-1,3-ß -D-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glucosidase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Ethanolamine-phosphate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cytidylyltransferase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N-(long-chain-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)ethanolamine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deacylase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CYP4A2 substrate, CYP2E1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Xylan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endo-1,3-ß 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xylosidase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Glutarate-semialdehyde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Prostaglandin-A1 DELTA-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isomerase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formyl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methionyl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-peptidase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Dimethylargininase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Poly(ß -D-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mannuronate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)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lyase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Cholesterol antagonist,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Plasmanylethanolamine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desaturase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Protein-disulfide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(glutathione) inhibitor, Antimutagenic,15-Hydroxyprostaglandin-D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(NADP+) inhibitor, L-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glucuronate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Angiogenesis stimulant,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Antiinflammatory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--transporting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ATPase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Aspulvinone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dimethylallyltransferase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Ubiquinol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cytochrome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-c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Arginine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2-monooxygenase inhibitor, BRAF expression inhibitor, Lysine 2,3-aminomutase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Oxidoreductase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5-dehydrogenase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Fragilysin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D-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lactaldehyde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Antihypercholesterolemic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Linoleate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isomerase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Alcohol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(NADP+) inhibitor, Pectin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lyase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Peptide-N4-(N-acetyl-ß 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glucosaminyl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)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asparagine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amidase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NADPH-cytochrome-c2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Creatininase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HMOX1 expression enhancer,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Fusarinine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-C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ornithinesterase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</w:t>
            </w:r>
          </w:p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CYP4A substrate, Platelet aggregation stimulant,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Cyclooxygenase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Feruloyl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esterase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Glycosylphosphatidylinositol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phospholipase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D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Vasoprotector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Allyl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-alcohol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Phenylacetate-CoA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Electron-transferring-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flavoprotein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Fucosterol-epoxide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lyase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Levanase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2-dehydrogenase (acceptor)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Lysostaphin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</w:t>
            </w:r>
          </w:p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Thromboxane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synthase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stimulant,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Antiseborrheic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 Phenol 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methyltransferase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Biliary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tract disorders treatment, NADH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1,4-Lactonase inhibitor, CYP3A1 substrate, NADPH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>peroxidase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Glutamyl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endopeptidase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II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Ecdysone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20-monooxygenase inhibitor, Membrane integrity agonist,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Uroporphyrinogen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Ribulose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-phosphate 3-epimerase inhibitor, GABA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aminotransferase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UGT2B1 substrate, 5-O-(4-coumaroyl)-D-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quinate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3'-monooxygenase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Pseudolysin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Glutamine-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phenylpyruvate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transaminase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2-Haloacid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dehalogenase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(configuration-inverting)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Alkenylglycerophospho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ethanolamine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hydrolase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Acetylesterase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Polyamine-transporting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ATPase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Phosphatidate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Creatinase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2-Oxoglutarate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IgA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-specific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metalloendopeptidase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Protein-tyrosine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sulfotransferase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Arachidonate-CoA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1,4-alpha-maltotriohydrolase inhibitor, Amino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carboxy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muconate-semialdehyde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3-Phytase inhibitor, 4-Hydroxy glutamate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transaminase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Endo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cannabinoid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uptake inhibitor, Nitrite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(NO-forming)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Peroxidase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substrate, Lactase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Tpr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proteinase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Porphyromonas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gingivalis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Antisecretoric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Adenomatous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polyposis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treatment, 2,3,4,5-Tetrahydropyridine-2,6-dicarboxylate 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succinyl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Formaldehyde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transketolase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Omptin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Venombin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AB inhibitor, 2-Hydroxyquinoline 8-monooxygenase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Methylumbelliferyl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-acetate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deacetylase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Shikimate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hydroxycinnamoyl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Phosphoenolpyruvate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-protein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phosphotransferase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Peptidoglycan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glycosyltransferase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3-Oxoadipate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enol-lactonase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Peptidyl-dipeptidase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Dcp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Vitamin-K-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epoxide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warfarin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-insensitive)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Phosphoinositide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5-phosphatase inhibitor, Platelet adhesion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Arylmalonate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Vanilloid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 agonist, Prostaglandin E1 antagonist, 2-Hydroxy-3-oxoadipate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synthase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Phthalate 4,5-dioxygenase inhibitor, Antithrombotic,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Phosphatidylinositol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diacylglycerol-lyase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UDP-N-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acetylglucosamine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4-epimerase inhibitor, 1-Alkylglycero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phosphocholine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O-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acetyltransferase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Mucositis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treatment, CYP2C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Reductant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Proteasome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ATPase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Biotinidase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Di-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trans,poly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cis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decaprenylcistransferase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1,4-alpha-maltotetraohydrolase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Glyoxylate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Benzoate-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CoA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Leukopoiesis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stimulant, Methanol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 xml:space="preserve">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Dolichyl-phosphatase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-L-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gulonate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Glucose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oxidase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Myosin-light-chain-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Monodehydroascorbate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(NADH)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Endopeptidase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So inhibitor, ADP-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thymidine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Fumarate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(NADH) inhibitor, Mannitol-1-phosphatase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Cyclo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oxygenase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Gluconolactonase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Preneoplastic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conditions treatment,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Prenyl-diphosphatase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Superoxide dismutase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Sulfite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TP53 expression enhancer,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Gastrin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Arylsulfate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sulfotransferase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Protein-glutamate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methylesterase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2-Methyleneglutarate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mutase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Undecaprenyldiphospho-muramoylpentapeptide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ß -N-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acetylglucosaminyltransferase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TNF expression inhibitor, Hydrogen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Aspartate-phenylpyruvate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transaminase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CYP2C8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Tryptophanamidase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CYP2C8 substrate, Eye irritation, inactive,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Phosphatidylserine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decarboxylase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Taurine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Membrane permeability inhibitor</w:t>
            </w:r>
          </w:p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>0.819</w:t>
            </w:r>
          </w:p>
        </w:tc>
      </w:tr>
      <w:tr w:rsidR="00DA5BE1" w:rsidRPr="0025577B" w:rsidTr="00A22075">
        <w:tc>
          <w:tcPr>
            <w:tcW w:w="1701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Fucoidan</w:t>
            </w:r>
            <w:proofErr w:type="spellEnd"/>
          </w:p>
        </w:tc>
        <w:tc>
          <w:tcPr>
            <w:tcW w:w="6804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Benzoate-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CoA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Sugar-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G-protein-coupled receptor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ß -adrenergic receptor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kinase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Coenzyme-B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sulfoethylthio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Exoribonuclease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II inhibitor, CYP2C12 substrate,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IgA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-specific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metallo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endopeptidase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1,4-alpha-maltotriohydrolase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Pullulanase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Urethanase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Anthranilate-CoA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Levanase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endo-1,3-ß -D-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Alkylacetyl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glycerol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phosphatase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ß 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mannosidase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L-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iduronidase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Endoglycosylceramidase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Dextranase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Cyclomaltodextrinase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Peptide-N4-(N-acetyl-ß 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glucosaminyl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asparagine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amidase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Licheninase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Protein-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Npi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phosphohistidine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-sugar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phosphotransferase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Lysine 2,3-aminomutase inhibitor, Antibiotic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Glycopeptide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-like CDP-glycerol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glycerophosphotransferase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Poly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poropepsin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Cholesterol antagonist, SULT1E1 substrate,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Arylsulfate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sulfotransferase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Phenylacetate-CoA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ligase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Fibroblast growth factor 2 antagonist, Alpha-L-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rhamnosidase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Mannosyl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-glycoprotein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endo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-ß -N-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acetylglucosaminidase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IgA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-specific serine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endopeptidase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7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inhibitor, CYP2H substrate,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Alkenylglycerophosphocholine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hydrolase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Alternansucrase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D-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lactaldehyde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Hydroxylamine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(NADH)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Adenomatous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polyposis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treatment,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Carboxypeptidase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Taq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Galactolipase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Vasoprotector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, Membrane permeability inhibitor, Antiviral (Rhinovirus),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Biliary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tract disorders treatment, Acute neurologic disorders treatment, Alpha-N-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arabino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furanosidase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Dextransucrase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Cellulase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1,2-alpha-L-fucosidase inhibitor, Serine-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sulfate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ammonia-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lyase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Gluconate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5-dehydrogenase inhibitor, Glutathione S-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transferase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substrate,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Sclerosant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Xylan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endo-1,3-ß 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xylosidase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endo-1,6-ß 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Pseudolysin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Glucan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1,4-ß 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glucosidase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Chitinase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Hemostatic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, UDP-N-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acetylglucosamine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4-epimerase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Glycopeptide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alpha-N-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acetylgalactosaminidase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Glyceryl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-ether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monooxygenase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inhibitor,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Ubiquinol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cytochrome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-c 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 xml:space="preserve"> inhibitor</w:t>
            </w: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0.635</w:t>
            </w:r>
          </w:p>
        </w:tc>
      </w:tr>
      <w:tr w:rsidR="00DA5BE1" w:rsidRPr="0025577B" w:rsidTr="00A22075">
        <w:trPr>
          <w:cnfStyle w:val="000000100000"/>
        </w:trPr>
        <w:tc>
          <w:tcPr>
            <w:tcW w:w="1701" w:type="dxa"/>
          </w:tcPr>
          <w:p w:rsidR="00027519" w:rsidRPr="0025577B" w:rsidRDefault="00027519" w:rsidP="000275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Vitamin E</w:t>
            </w:r>
          </w:p>
          <w:p w:rsidR="00DA5BE1" w:rsidRPr="0025577B" w:rsidRDefault="00027519" w:rsidP="0002751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(α-</w:t>
            </w:r>
            <w:proofErr w:type="spellStart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tocopherol</w:t>
            </w:r>
            <w:proofErr w:type="spellEnd"/>
            <w:r w:rsidRPr="0025577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Lipid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peroxidase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Antioxidant, CYP2C12 substrate, Acute neurologic disorders treatment,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Antihypercholesterolemic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Antiischemic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cerebral,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Reductant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AR expression inhibitor,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Hypolipemic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Male reproductive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disfunction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treatment Nucleotide metabolism regulator,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Prion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diseases treatment,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Antiinflammatory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Cholesterol antagonist,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Anticataract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CYP2C19 substrate, CYP2E substrate, CYP2E1 substrate, CYP2C substrate, CYP2C8 inhibitor, CYP2C8 substrate,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Ubiquinol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cytochrome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-c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reductase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inhibitor, Apoptosis agonist, Vitamin, Glycogen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synthase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stimulant, 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Antianginal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 Testosterone 17ß -</w:t>
            </w:r>
            <w:proofErr w:type="spellStart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dehydrogenase</w:t>
            </w:r>
            <w:proofErr w:type="spellEnd"/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(NADP+) inhibitor,TP53 expression enhancer</w:t>
            </w: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0.814</w:t>
            </w:r>
          </w:p>
        </w:tc>
      </w:tr>
      <w:tr w:rsidR="00DA5BE1" w:rsidRPr="0025577B" w:rsidTr="00A22075">
        <w:trPr>
          <w:cnfStyle w:val="010000000000"/>
        </w:trPr>
        <w:tc>
          <w:tcPr>
            <w:tcW w:w="1701" w:type="dxa"/>
          </w:tcPr>
          <w:p w:rsidR="00DA5BE1" w:rsidRPr="0025577B" w:rsidRDefault="00071B10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5577B">
              <w:rPr>
                <w:rFonts w:ascii="Times New Roman" w:hAnsi="Times New Roman" w:cs="Times New Roman"/>
                <w:b w:val="0"/>
                <w:sz w:val="22"/>
                <w:szCs w:val="22"/>
              </w:rPr>
              <w:t>Elagolix</w:t>
            </w:r>
            <w:proofErr w:type="spellEnd"/>
          </w:p>
        </w:tc>
        <w:tc>
          <w:tcPr>
            <w:tcW w:w="6804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A5BE1" w:rsidRPr="0025577B" w:rsidRDefault="00DA5BE1" w:rsidP="00541F98">
            <w:pPr>
              <w:spacing w:line="360" w:lineRule="auto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25577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</w:t>
            </w:r>
          </w:p>
        </w:tc>
      </w:tr>
    </w:tbl>
    <w:p w:rsidR="00DA5BE1" w:rsidRDefault="00DA5BE1"/>
    <w:sectPr w:rsidR="00DA5BE1" w:rsidSect="0003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4B" w:rsidRDefault="00610D4B" w:rsidP="00DA5BE1">
      <w:pPr>
        <w:spacing w:after="0" w:line="240" w:lineRule="auto"/>
      </w:pPr>
      <w:r>
        <w:separator/>
      </w:r>
    </w:p>
  </w:endnote>
  <w:endnote w:type="continuationSeparator" w:id="0">
    <w:p w:rsidR="00610D4B" w:rsidRDefault="00610D4B" w:rsidP="00DA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4B" w:rsidRDefault="00610D4B" w:rsidP="00DA5BE1">
      <w:pPr>
        <w:spacing w:after="0" w:line="240" w:lineRule="auto"/>
      </w:pPr>
      <w:r>
        <w:separator/>
      </w:r>
    </w:p>
  </w:footnote>
  <w:footnote w:type="continuationSeparator" w:id="0">
    <w:p w:rsidR="00610D4B" w:rsidRDefault="00610D4B" w:rsidP="00DA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881"/>
    <w:rsid w:val="00027519"/>
    <w:rsid w:val="0003244D"/>
    <w:rsid w:val="00071B10"/>
    <w:rsid w:val="00072EA9"/>
    <w:rsid w:val="0009245D"/>
    <w:rsid w:val="001840F4"/>
    <w:rsid w:val="00210002"/>
    <w:rsid w:val="002542C9"/>
    <w:rsid w:val="0025577B"/>
    <w:rsid w:val="00292A4B"/>
    <w:rsid w:val="003F1C08"/>
    <w:rsid w:val="00610D4B"/>
    <w:rsid w:val="007D1F77"/>
    <w:rsid w:val="007E14BD"/>
    <w:rsid w:val="007F1A08"/>
    <w:rsid w:val="008017A0"/>
    <w:rsid w:val="00A22075"/>
    <w:rsid w:val="00A907E5"/>
    <w:rsid w:val="00AD6EF8"/>
    <w:rsid w:val="00BB1CD7"/>
    <w:rsid w:val="00CB1B97"/>
    <w:rsid w:val="00CE5881"/>
    <w:rsid w:val="00CF6AA6"/>
    <w:rsid w:val="00DA5BE1"/>
    <w:rsid w:val="00EA3AA5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4BD"/>
    <w:rPr>
      <w:color w:val="0000FF"/>
      <w:u w:val="single"/>
    </w:rPr>
  </w:style>
  <w:style w:type="table" w:styleId="TableGrid">
    <w:name w:val="Table Grid"/>
    <w:basedOn w:val="TableNormal"/>
    <w:uiPriority w:val="39"/>
    <w:rsid w:val="007E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E14BD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A5BE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924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Nabiya</dc:creator>
  <cp:keywords/>
  <dc:description/>
  <cp:lastModifiedBy>Admin</cp:lastModifiedBy>
  <cp:revision>25</cp:revision>
  <dcterms:created xsi:type="dcterms:W3CDTF">2021-03-21T14:23:00Z</dcterms:created>
  <dcterms:modified xsi:type="dcterms:W3CDTF">2021-05-18T12:44:00Z</dcterms:modified>
</cp:coreProperties>
</file>